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lang w:eastAsia="zh-CN"/>
        </w:rPr>
      </w:pPr>
      <w:r>
        <w:rPr>
          <w:b/>
          <w:color w:val="000000"/>
        </w:rPr>
        <w:t>DATE:</w:t>
      </w:r>
      <w:r>
        <w:rPr>
          <w:color w:val="000000"/>
        </w:rPr>
        <w:tab/>
      </w:r>
      <w:r w:rsidR="00611185">
        <w:rPr>
          <w:color w:val="000000"/>
          <w:lang w:eastAsia="zh-CN"/>
        </w:rPr>
        <w:t>***</w:t>
      </w: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rPr>
      </w:pP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rPr>
      </w:pPr>
      <w:r>
        <w:rPr>
          <w:b/>
          <w:color w:val="000000"/>
        </w:rPr>
        <w:t>TO:</w:t>
      </w:r>
      <w:r>
        <w:rPr>
          <w:b/>
          <w:color w:val="000000"/>
        </w:rPr>
        <w:tab/>
      </w:r>
      <w:r>
        <w:rPr>
          <w:color w:val="000000"/>
        </w:rPr>
        <w:tab/>
      </w:r>
      <w:r w:rsidR="00611185">
        <w:rPr>
          <w:color w:val="000000"/>
          <w:lang w:eastAsia="zh-CN"/>
        </w:rPr>
        <w:t>***</w:t>
      </w:r>
      <w:r>
        <w:rPr>
          <w:color w:val="000000"/>
        </w:rPr>
        <w:t>, MD</w:t>
      </w: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rPr>
      </w:pPr>
      <w:r>
        <w:rPr>
          <w:color w:val="000000"/>
        </w:rPr>
        <w:tab/>
      </w:r>
      <w:r>
        <w:rPr>
          <w:color w:val="000000"/>
        </w:rPr>
        <w:tab/>
        <w:t>Dep</w:t>
      </w:r>
      <w:r>
        <w:rPr>
          <w:rFonts w:hint="eastAsia"/>
          <w:color w:val="000000"/>
          <w:lang w:eastAsia="zh-CN"/>
        </w:rPr>
        <w:t xml:space="preserve">artment of </w:t>
      </w:r>
      <w:r w:rsidR="00611185">
        <w:rPr>
          <w:color w:val="000000"/>
          <w:lang w:eastAsia="zh-CN"/>
        </w:rPr>
        <w:t>***</w:t>
      </w: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rPr>
      </w:pP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lang w:eastAsia="zh-CN"/>
        </w:rPr>
      </w:pPr>
      <w:r>
        <w:rPr>
          <w:b/>
          <w:color w:val="000000"/>
        </w:rPr>
        <w:t>FROM:</w:t>
      </w:r>
      <w:r>
        <w:rPr>
          <w:color w:val="000000"/>
        </w:rPr>
        <w:tab/>
      </w:r>
      <w:r w:rsidR="00611185">
        <w:rPr>
          <w:color w:val="000000"/>
          <w:lang w:eastAsia="zh-CN"/>
        </w:rPr>
        <w:t>***</w:t>
      </w: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ind w:firstLine="1440"/>
        <w:rPr>
          <w:color w:val="000000"/>
          <w:lang w:eastAsia="zh-CN"/>
        </w:rPr>
      </w:pPr>
      <w:r>
        <w:rPr>
          <w:color w:val="000000"/>
        </w:rPr>
        <w:t>Department of Biostatistics</w:t>
      </w:r>
      <w:r>
        <w:rPr>
          <w:rFonts w:hint="eastAsia"/>
          <w:color w:val="000000"/>
          <w:lang w:eastAsia="zh-CN"/>
        </w:rPr>
        <w:t xml:space="preserve"> </w:t>
      </w: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rPr>
      </w:pP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lang w:eastAsia="zh-CN"/>
        </w:rPr>
      </w:pPr>
      <w:r>
        <w:rPr>
          <w:b/>
          <w:color w:val="000000"/>
        </w:rPr>
        <w:t>SUBJECT:</w:t>
      </w:r>
      <w:r>
        <w:rPr>
          <w:color w:val="000000"/>
        </w:rPr>
        <w:tab/>
      </w:r>
      <w:r>
        <w:rPr>
          <w:rFonts w:hint="eastAsia"/>
          <w:color w:val="000000"/>
          <w:lang w:eastAsia="zh-CN"/>
        </w:rPr>
        <w:t>Statistical d</w:t>
      </w:r>
      <w:r>
        <w:rPr>
          <w:color w:val="000000"/>
        </w:rPr>
        <w:t>esign of</w:t>
      </w:r>
      <w:r>
        <w:rPr>
          <w:rFonts w:hint="eastAsia"/>
          <w:color w:val="000000"/>
          <w:lang w:eastAsia="zh-CN"/>
        </w:rPr>
        <w:t xml:space="preserve"> trial</w:t>
      </w:r>
      <w:r>
        <w:rPr>
          <w:color w:val="000000"/>
          <w:lang w:eastAsia="zh-CN"/>
        </w:rPr>
        <w:t xml:space="preserve"> “Phase II study of </w:t>
      </w:r>
      <w:r w:rsidR="00611185">
        <w:rPr>
          <w:color w:val="000000"/>
          <w:lang w:eastAsia="zh-CN"/>
        </w:rPr>
        <w:t>*** (name of the treatment)</w:t>
      </w:r>
      <w:r>
        <w:rPr>
          <w:color w:val="000000"/>
          <w:lang w:eastAsia="zh-CN"/>
        </w:rPr>
        <w:t xml:space="preserve"> for </w:t>
      </w:r>
      <w:r w:rsidR="00611185">
        <w:rPr>
          <w:color w:val="000000"/>
          <w:lang w:eastAsia="zh-CN"/>
        </w:rPr>
        <w:t>*** (name of the disease)</w:t>
      </w:r>
      <w:r>
        <w:rPr>
          <w:color w:val="000000"/>
          <w:lang w:eastAsia="zh-CN"/>
        </w:rPr>
        <w:t>”</w:t>
      </w:r>
      <w:r>
        <w:rPr>
          <w:rFonts w:hint="eastAsia"/>
          <w:color w:val="000000"/>
          <w:lang w:eastAsia="zh-CN"/>
        </w:rPr>
        <w:t>.</w:t>
      </w: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rPr>
      </w:pPr>
    </w:p>
    <w:p w:rsidR="00C1340C" w:rsidRDefault="00C1340C">
      <w:pPr>
        <w:pStyle w:val="BodyText"/>
        <w:rPr>
          <w:lang w:eastAsia="zh-CN"/>
        </w:rPr>
      </w:pPr>
      <w:r>
        <w:t xml:space="preserve">STATISTICAL CONSIDERATIONS </w:t>
      </w: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lang w:eastAsia="zh-CN"/>
        </w:rPr>
      </w:pPr>
    </w:p>
    <w:p w:rsidR="00C1340C" w:rsidRDefault="00C1340C" w:rsidP="00C1340C">
      <w:pPr>
        <w:pStyle w:val="BodyTextIndent2"/>
        <w:tabs>
          <w:tab w:val="left" w:pos="0"/>
        </w:tabs>
        <w:spacing w:line="240" w:lineRule="auto"/>
        <w:ind w:left="0" w:right="360"/>
      </w:pPr>
      <w:r>
        <w:t xml:space="preserve">This is an open label, phase II clinical trial to evaluate the efficacy and safety of </w:t>
      </w:r>
      <w:r w:rsidR="00611185">
        <w:rPr>
          <w:color w:val="000000"/>
        </w:rPr>
        <w:t>*** (name of the treatment) given</w:t>
      </w:r>
      <w:r>
        <w:t xml:space="preserve"> to patients with </w:t>
      </w:r>
      <w:r w:rsidR="00611185">
        <w:rPr>
          <w:color w:val="000000"/>
        </w:rPr>
        <w:t>*** (name of the disease)</w:t>
      </w:r>
      <w:r>
        <w:t xml:space="preserve">. The overall response, denoted as OR (to be assessed at </w:t>
      </w:r>
      <w:r w:rsidR="00611185">
        <w:t>*** (the point at which it is assessed</w:t>
      </w:r>
      <w:r>
        <w:t>)</w:t>
      </w:r>
      <w:r w:rsidR="00611185">
        <w:t>)</w:t>
      </w:r>
      <w:r>
        <w:t xml:space="preserve">, and toxicity will be monitored simultaneously </w:t>
      </w:r>
      <w:r w:rsidR="00A67761">
        <w:t>in cohorts of *</w:t>
      </w:r>
      <w:bookmarkStart w:id="0" w:name="_GoBack"/>
      <w:bookmarkEnd w:id="0"/>
      <w:r w:rsidR="00611185">
        <w:t xml:space="preserve"> patients </w:t>
      </w:r>
      <w:r>
        <w:t xml:space="preserve">using the Bayesian approach of Thall, Simon, </w:t>
      </w:r>
      <w:proofErr w:type="spellStart"/>
      <w:r>
        <w:t>Estey</w:t>
      </w:r>
      <w:proofErr w:type="spellEnd"/>
      <w:r>
        <w:t xml:space="preserve"> (1995, 1996) as extended by Thall and Sung (1998).  Toxicity is defined as </w:t>
      </w:r>
      <w:r w:rsidR="00611185">
        <w:t>*** (definition of toxicity, such as graded events)</w:t>
      </w:r>
      <w:r>
        <w:t>. Historical data on similar patients sho</w:t>
      </w:r>
      <w:r w:rsidR="00694114">
        <w:t>w an overall response rate of **% and toxicity rate of **%.  This</w:t>
      </w:r>
      <w:r>
        <w:t xml:space="preserve"> information was </w:t>
      </w:r>
      <w:r w:rsidR="00694114">
        <w:t>given an Effective Sample Size of *** (should be large, such as 100 or more)</w:t>
      </w:r>
      <w:r>
        <w:t xml:space="preserve"> patients.  Independence was </w:t>
      </w:r>
      <w:proofErr w:type="gramStart"/>
      <w:r>
        <w:t>assumed</w:t>
      </w:r>
      <w:proofErr w:type="gramEnd"/>
      <w:r>
        <w:t xml:space="preserve"> between OR and toxicity.  It is expected for the current trial that </w:t>
      </w:r>
      <w:r w:rsidR="00611185">
        <w:rPr>
          <w:color w:val="000000"/>
        </w:rPr>
        <w:t>*** (name of the treatment)</w:t>
      </w:r>
      <w:r w:rsidR="00694114">
        <w:t xml:space="preserve"> will improve the OR rate to **</w:t>
      </w:r>
      <w:r>
        <w:t>% while the t</w:t>
      </w:r>
      <w:r w:rsidR="00694114">
        <w:t>oxicity rate is maintained at **%.  A sample size of **</w:t>
      </w:r>
      <w:r>
        <w:t xml:space="preserve"> patients ensures that, if the trial is not terminated early, a posterior 90% credibility interval for overall respo</w:t>
      </w:r>
      <w:r w:rsidR="00694114">
        <w:t>nse rate will have width of 0.**</w:t>
      </w:r>
      <w:r>
        <w:t xml:space="preserve"> at mos</w:t>
      </w:r>
      <w:r w:rsidR="00694114">
        <w:t>t, under the assumption of an **</w:t>
      </w:r>
      <w:r>
        <w:t>% of overall response rate.  The probabilities of OR and toxicity for the historical data are modeled by beta distributions (</w:t>
      </w:r>
      <w:proofErr w:type="gramStart"/>
      <w:r w:rsidRPr="004C797A">
        <w:rPr>
          <w:i/>
        </w:rPr>
        <w:t>Beta</w:t>
      </w:r>
      <w:r w:rsidR="00694114">
        <w:t>(</w:t>
      </w:r>
      <w:proofErr w:type="gramEnd"/>
      <w:r w:rsidR="00694114">
        <w:t>**, **</w:t>
      </w:r>
      <w:r>
        <w:t xml:space="preserve">) and </w:t>
      </w:r>
      <w:r>
        <w:rPr>
          <w:i/>
        </w:rPr>
        <w:t>Beta</w:t>
      </w:r>
      <w:r w:rsidR="00694114">
        <w:t>(**, **</w:t>
      </w:r>
      <w:r>
        <w:t>), respectively).  The prior probabilities of OR and toxicity for the experimental regimen are also modeled by beta distributions (</w:t>
      </w:r>
      <w:proofErr w:type="gramStart"/>
      <w:r w:rsidRPr="004C797A">
        <w:rPr>
          <w:i/>
        </w:rPr>
        <w:t>Beta</w:t>
      </w:r>
      <w:r w:rsidR="00694114">
        <w:t>(</w:t>
      </w:r>
      <w:proofErr w:type="gramEnd"/>
      <w:r w:rsidR="00694114">
        <w:t>*.*, *.*</w:t>
      </w:r>
      <w:r>
        <w:t xml:space="preserve">) and </w:t>
      </w:r>
      <w:r>
        <w:rPr>
          <w:i/>
        </w:rPr>
        <w:t>Beta</w:t>
      </w:r>
      <w:r w:rsidR="00694114">
        <w:t>(*.*, *.*</w:t>
      </w:r>
      <w:r>
        <w:t xml:space="preserve">), respectively), which have the same </w:t>
      </w:r>
      <w:r w:rsidRPr="0013003F">
        <w:rPr>
          <w:i/>
        </w:rPr>
        <w:t xml:space="preserve">means </w:t>
      </w:r>
      <w:r>
        <w:t>as the corresponding beta distributions for the historical data</w:t>
      </w:r>
      <w:r w:rsidR="00694114">
        <w:t>, and an Effective Sample Size of * (should be small, such as 1)</w:t>
      </w:r>
      <w:r>
        <w:t>.  Denoting the historical probabilities of overall response rate and toxicity rate by {</w:t>
      </w:r>
      <w:proofErr w:type="gramStart"/>
      <w:r>
        <w:t>p(</w:t>
      </w:r>
      <w:proofErr w:type="gramEnd"/>
      <w:r>
        <w:t>OR,H) , p(TOX,H)}, the following decision criteria will be applied:</w:t>
      </w:r>
    </w:p>
    <w:p w:rsidR="00C1340C" w:rsidRDefault="00C1340C" w:rsidP="00C1340C">
      <w:pPr>
        <w:pStyle w:val="BodyText3"/>
      </w:pPr>
    </w:p>
    <w:p w:rsidR="00C1340C" w:rsidRDefault="00C1340C" w:rsidP="00C1340C">
      <w:pPr>
        <w:pStyle w:val="BodyText3"/>
        <w:numPr>
          <w:ilvl w:val="0"/>
          <w:numId w:val="3"/>
        </w:numPr>
      </w:pPr>
      <w:r>
        <w:t xml:space="preserve">Let E correspond to the experimental treatment, stop if  </w:t>
      </w:r>
    </w:p>
    <w:p w:rsidR="00C1340C" w:rsidRDefault="00C1340C" w:rsidP="00C1340C">
      <w:pPr>
        <w:pStyle w:val="BodyText3"/>
        <w:tabs>
          <w:tab w:val="clear" w:pos="720"/>
        </w:tabs>
        <w:ind w:left="360"/>
      </w:pPr>
      <w:r>
        <w:t xml:space="preserve">      </w:t>
      </w:r>
      <w:proofErr w:type="spellStart"/>
      <w:proofErr w:type="gramStart"/>
      <w:r>
        <w:t>Prob</w:t>
      </w:r>
      <w:proofErr w:type="spellEnd"/>
      <w:r>
        <w:t>{</w:t>
      </w:r>
      <w:proofErr w:type="gramEnd"/>
      <w:r>
        <w:t xml:space="preserve">p(OR,H)  + </w:t>
      </w:r>
      <w:r>
        <w:sym w:font="Symbol" w:char="F064"/>
      </w:r>
      <w:r>
        <w:rPr>
          <w:vertAlign w:val="subscript"/>
        </w:rPr>
        <w:t>OR</w:t>
      </w:r>
      <w:r w:rsidR="00694114">
        <w:t xml:space="preserve"> &gt; p(OR,E) | data} &gt; 0.**</w:t>
      </w:r>
      <w:r>
        <w:t xml:space="preserve">, where </w:t>
      </w:r>
      <w:r>
        <w:sym w:font="Symbol" w:char="F064"/>
      </w:r>
      <w:r>
        <w:rPr>
          <w:szCs w:val="24"/>
          <w:vertAlign w:val="subscript"/>
        </w:rPr>
        <w:t>O</w:t>
      </w:r>
      <w:r>
        <w:rPr>
          <w:vertAlign w:val="subscript"/>
        </w:rPr>
        <w:t>R</w:t>
      </w:r>
      <w:r w:rsidR="00694114">
        <w:t xml:space="preserve"> =0.*</w:t>
      </w:r>
    </w:p>
    <w:p w:rsidR="00C1340C" w:rsidRDefault="00C1340C" w:rsidP="00C1340C">
      <w:pPr>
        <w:pStyle w:val="BodyText3"/>
        <w:numPr>
          <w:ilvl w:val="0"/>
          <w:numId w:val="3"/>
        </w:numPr>
      </w:pPr>
      <w:r>
        <w:t xml:space="preserve">Stop if </w:t>
      </w:r>
      <w:proofErr w:type="spellStart"/>
      <w:proofErr w:type="gramStart"/>
      <w:r>
        <w:t>Prob</w:t>
      </w:r>
      <w:proofErr w:type="spellEnd"/>
      <w:r>
        <w:t>{</w:t>
      </w:r>
      <w:proofErr w:type="gramEnd"/>
      <w:r>
        <w:t xml:space="preserve">p(TOX,H)  + </w:t>
      </w:r>
      <w:r>
        <w:sym w:font="Symbol" w:char="F064"/>
      </w:r>
      <w:r>
        <w:rPr>
          <w:vertAlign w:val="subscript"/>
        </w:rPr>
        <w:t>TOX</w:t>
      </w:r>
      <w:r w:rsidR="00694114">
        <w:t xml:space="preserve"> &lt; p(TOX,E)| data}&gt;0.**</w:t>
      </w:r>
      <w:r>
        <w:t xml:space="preserve">, where </w:t>
      </w:r>
      <w:r>
        <w:sym w:font="Symbol" w:char="F064"/>
      </w:r>
      <w:r>
        <w:rPr>
          <w:vertAlign w:val="subscript"/>
        </w:rPr>
        <w:t>TOX</w:t>
      </w:r>
      <w:r w:rsidR="00694114">
        <w:t xml:space="preserve"> =0.*</w:t>
      </w:r>
    </w:p>
    <w:p w:rsidR="00611185" w:rsidRDefault="00611185" w:rsidP="00611185">
      <w:pPr>
        <w:pStyle w:val="BodyText3"/>
      </w:pPr>
    </w:p>
    <w:p w:rsidR="00C1340C" w:rsidRDefault="00611185" w:rsidP="00611185">
      <w:pPr>
        <w:pStyle w:val="BodyText3"/>
      </w:pPr>
      <w:r>
        <w:br w:type="page"/>
      </w:r>
      <w:r w:rsidR="00C1340C">
        <w:lastRenderedPageBreak/>
        <w:t>Patients will be monitored according to the following stopping boundaries for overall response.</w:t>
      </w:r>
    </w:p>
    <w:p w:rsidR="00C1340C" w:rsidRDefault="00C1340C" w:rsidP="00C1340C">
      <w:pPr>
        <w:pStyle w:val="BodyText3"/>
      </w:pPr>
    </w:p>
    <w:p w:rsidR="00A67761" w:rsidRDefault="00A67761" w:rsidP="00C1340C">
      <w:pPr>
        <w:pStyle w:val="BodyText3"/>
      </w:pPr>
      <w:r>
        <w:t>*** (insert the stopping boundary table for Response here)</w:t>
      </w:r>
    </w:p>
    <w:p w:rsidR="00A67761" w:rsidRDefault="00A67761" w:rsidP="00C1340C">
      <w:pPr>
        <w:pStyle w:val="BodyText3"/>
      </w:pPr>
    </w:p>
    <w:p w:rsidR="00C1340C" w:rsidRDefault="00C1340C" w:rsidP="00C1340C">
      <w:pPr>
        <w:pStyle w:val="BodyText3"/>
      </w:pPr>
      <w:r>
        <w:t>At the same time, patients will be monitored according to the following stopping boundaries for toxicity.</w:t>
      </w:r>
    </w:p>
    <w:p w:rsidR="00277413" w:rsidRDefault="00277413" w:rsidP="00C1340C">
      <w:pPr>
        <w:pStyle w:val="BodyText3"/>
      </w:pPr>
    </w:p>
    <w:p w:rsidR="00A67761" w:rsidRDefault="00A67761" w:rsidP="00C1340C">
      <w:pPr>
        <w:pStyle w:val="BodyText3"/>
      </w:pPr>
      <w:r>
        <w:t>*** (insert the stopping boundary table for Toxicity here)</w:t>
      </w:r>
    </w:p>
    <w:p w:rsidR="00C1340C" w:rsidRDefault="00277413" w:rsidP="00C1340C">
      <w:pPr>
        <w:pStyle w:val="BodyText3"/>
      </w:pPr>
      <w:r>
        <w:br w:type="page"/>
      </w:r>
    </w:p>
    <w:p w:rsidR="00C1340C" w:rsidRDefault="00C1340C" w:rsidP="00C1340C">
      <w:pPr>
        <w:pStyle w:val="BodyText3"/>
      </w:pPr>
      <w:r>
        <w:t xml:space="preserve">The operating characteristics are summarized </w:t>
      </w:r>
      <w:r w:rsidR="00277413">
        <w:t>in the following table</w:t>
      </w:r>
      <w:r>
        <w:t>.</w:t>
      </w:r>
      <w:r w:rsidR="00277413">
        <w:t xml:space="preserve">  The probabilities of stopping the trial early are exact calculations.  *** (information from </w:t>
      </w:r>
      <w:proofErr w:type="spellStart"/>
      <w:r w:rsidR="00277413">
        <w:t>MultcLean</w:t>
      </w:r>
      <w:proofErr w:type="spellEnd"/>
      <w:r w:rsidR="00277413">
        <w:t xml:space="preserve"> Desktop about the average numbers of patients treated and the average numbers of responses and toxicities are also exact; the average trial durations if calculated are based on 10,000 simulations)</w:t>
      </w:r>
    </w:p>
    <w:p w:rsidR="00277413" w:rsidRDefault="00277413" w:rsidP="00C1340C">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1340C">
        <w:tc>
          <w:tcPr>
            <w:tcW w:w="2952" w:type="dxa"/>
            <w:tcBorders>
              <w:bottom w:val="double" w:sz="4" w:space="0" w:color="auto"/>
            </w:tcBorders>
          </w:tcPr>
          <w:p w:rsidR="00C1340C" w:rsidRDefault="00C1340C" w:rsidP="00C1340C">
            <w:pPr>
              <w:pStyle w:val="BodyText3"/>
              <w:jc w:val="center"/>
            </w:pPr>
            <w:r>
              <w:t>True Toxicity Rate</w:t>
            </w:r>
          </w:p>
        </w:tc>
        <w:tc>
          <w:tcPr>
            <w:tcW w:w="2952" w:type="dxa"/>
            <w:tcBorders>
              <w:bottom w:val="double" w:sz="4" w:space="0" w:color="auto"/>
            </w:tcBorders>
          </w:tcPr>
          <w:p w:rsidR="00C1340C" w:rsidRDefault="00C1340C" w:rsidP="00C1340C">
            <w:pPr>
              <w:pStyle w:val="BodyText3"/>
              <w:jc w:val="center"/>
            </w:pPr>
            <w:r>
              <w:t>True OR Rate</w:t>
            </w:r>
          </w:p>
        </w:tc>
        <w:tc>
          <w:tcPr>
            <w:tcW w:w="2952" w:type="dxa"/>
            <w:tcBorders>
              <w:bottom w:val="double" w:sz="4" w:space="0" w:color="auto"/>
            </w:tcBorders>
          </w:tcPr>
          <w:p w:rsidR="00C1340C" w:rsidRDefault="00C1340C" w:rsidP="00C1340C">
            <w:pPr>
              <w:pStyle w:val="BodyText3"/>
              <w:jc w:val="center"/>
            </w:pPr>
            <w:proofErr w:type="spellStart"/>
            <w:r>
              <w:t>Prob</w:t>
            </w:r>
            <w:proofErr w:type="spellEnd"/>
            <w:r>
              <w:t>(stop the trial early)</w:t>
            </w:r>
          </w:p>
        </w:tc>
      </w:tr>
      <w:tr w:rsidR="00C1340C">
        <w:tc>
          <w:tcPr>
            <w:tcW w:w="2952" w:type="dxa"/>
            <w:tcBorders>
              <w:top w:val="double" w:sz="4" w:space="0" w:color="auto"/>
            </w:tcBorders>
          </w:tcPr>
          <w:p w:rsidR="00C1340C" w:rsidRDefault="00C1340C" w:rsidP="00C1340C">
            <w:pPr>
              <w:pStyle w:val="BodyText3"/>
              <w:jc w:val="center"/>
            </w:pPr>
            <w:r>
              <w:t>0.</w:t>
            </w:r>
            <w:r w:rsidR="00694114">
              <w:t>**</w:t>
            </w:r>
          </w:p>
        </w:tc>
        <w:tc>
          <w:tcPr>
            <w:tcW w:w="2952" w:type="dxa"/>
            <w:tcBorders>
              <w:top w:val="double" w:sz="4" w:space="0" w:color="auto"/>
            </w:tcBorders>
          </w:tcPr>
          <w:p w:rsidR="00C1340C" w:rsidRDefault="00694114" w:rsidP="00C1340C">
            <w:pPr>
              <w:pStyle w:val="BodyText3"/>
              <w:jc w:val="center"/>
            </w:pPr>
            <w:r>
              <w:t>0.**</w:t>
            </w:r>
          </w:p>
        </w:tc>
        <w:tc>
          <w:tcPr>
            <w:tcW w:w="2952" w:type="dxa"/>
            <w:tcBorders>
              <w:top w:val="double" w:sz="4" w:space="0" w:color="auto"/>
            </w:tcBorders>
          </w:tcPr>
          <w:p w:rsidR="00C1340C" w:rsidRDefault="00694114" w:rsidP="00C1340C">
            <w:pPr>
              <w:pStyle w:val="BodyText3"/>
              <w:jc w:val="center"/>
            </w:pPr>
            <w:r>
              <w:t>0.**</w:t>
            </w:r>
          </w:p>
        </w:tc>
      </w:tr>
      <w:tr w:rsidR="00C1340C">
        <w:tc>
          <w:tcPr>
            <w:tcW w:w="2952" w:type="dxa"/>
          </w:tcPr>
          <w:p w:rsidR="00C1340C" w:rsidRDefault="00C1340C" w:rsidP="00C1340C">
            <w:pPr>
              <w:pStyle w:val="BodyText3"/>
              <w:jc w:val="center"/>
            </w:pPr>
          </w:p>
        </w:tc>
        <w:tc>
          <w:tcPr>
            <w:tcW w:w="2952" w:type="dxa"/>
          </w:tcPr>
          <w:p w:rsidR="00C1340C" w:rsidRDefault="00694114" w:rsidP="00C1340C">
            <w:pPr>
              <w:pStyle w:val="BodyText3"/>
              <w:jc w:val="center"/>
            </w:pPr>
            <w:r>
              <w:t>0.**</w:t>
            </w:r>
          </w:p>
        </w:tc>
        <w:tc>
          <w:tcPr>
            <w:tcW w:w="2952" w:type="dxa"/>
          </w:tcPr>
          <w:p w:rsidR="00C1340C" w:rsidRDefault="00694114" w:rsidP="00C1340C">
            <w:pPr>
              <w:pStyle w:val="BodyText3"/>
              <w:jc w:val="center"/>
            </w:pPr>
            <w:r>
              <w:t>0.**</w:t>
            </w:r>
          </w:p>
        </w:tc>
      </w:tr>
      <w:tr w:rsidR="00694114">
        <w:tc>
          <w:tcPr>
            <w:tcW w:w="2952" w:type="dxa"/>
          </w:tcPr>
          <w:p w:rsidR="00694114" w:rsidRDefault="00694114" w:rsidP="00C1340C">
            <w:pPr>
              <w:pStyle w:val="BodyText3"/>
              <w:jc w:val="center"/>
            </w:pPr>
          </w:p>
        </w:tc>
        <w:tc>
          <w:tcPr>
            <w:tcW w:w="2952" w:type="dxa"/>
          </w:tcPr>
          <w:p w:rsidR="00694114" w:rsidRDefault="00694114" w:rsidP="00C1340C">
            <w:pPr>
              <w:pStyle w:val="BodyText3"/>
              <w:jc w:val="center"/>
            </w:pPr>
            <w:r>
              <w:t>0.**</w:t>
            </w:r>
          </w:p>
        </w:tc>
        <w:tc>
          <w:tcPr>
            <w:tcW w:w="2952" w:type="dxa"/>
          </w:tcPr>
          <w:p w:rsidR="00694114" w:rsidRDefault="00694114" w:rsidP="008E2CB9">
            <w:pPr>
              <w:jc w:val="center"/>
            </w:pPr>
            <w:r w:rsidRPr="00E03837">
              <w:t>0.**</w:t>
            </w:r>
          </w:p>
        </w:tc>
      </w:tr>
      <w:tr w:rsidR="00694114">
        <w:tc>
          <w:tcPr>
            <w:tcW w:w="2952" w:type="dxa"/>
          </w:tcPr>
          <w:p w:rsidR="00694114" w:rsidRDefault="00694114" w:rsidP="00C1340C">
            <w:pPr>
              <w:pStyle w:val="BodyText3"/>
              <w:jc w:val="center"/>
            </w:pPr>
          </w:p>
        </w:tc>
        <w:tc>
          <w:tcPr>
            <w:tcW w:w="2952" w:type="dxa"/>
          </w:tcPr>
          <w:p w:rsidR="00694114" w:rsidRDefault="00694114" w:rsidP="00C1340C">
            <w:pPr>
              <w:pStyle w:val="BodyText3"/>
              <w:jc w:val="center"/>
            </w:pPr>
            <w:r>
              <w:t>0.**</w:t>
            </w:r>
          </w:p>
        </w:tc>
        <w:tc>
          <w:tcPr>
            <w:tcW w:w="2952" w:type="dxa"/>
          </w:tcPr>
          <w:p w:rsidR="00694114" w:rsidRDefault="00694114" w:rsidP="008E2CB9">
            <w:pPr>
              <w:jc w:val="center"/>
            </w:pPr>
            <w:r w:rsidRPr="00E03837">
              <w:t>0.**</w:t>
            </w:r>
          </w:p>
        </w:tc>
      </w:tr>
      <w:tr w:rsidR="00694114">
        <w:tc>
          <w:tcPr>
            <w:tcW w:w="2952" w:type="dxa"/>
            <w:tcBorders>
              <w:top w:val="double" w:sz="4" w:space="0" w:color="auto"/>
              <w:bottom w:val="single" w:sz="4" w:space="0" w:color="auto"/>
            </w:tcBorders>
          </w:tcPr>
          <w:p w:rsidR="00694114" w:rsidRDefault="00694114" w:rsidP="00C1340C">
            <w:pPr>
              <w:pStyle w:val="BodyText3"/>
              <w:jc w:val="center"/>
            </w:pPr>
            <w:r>
              <w:t>0.**</w:t>
            </w:r>
          </w:p>
        </w:tc>
        <w:tc>
          <w:tcPr>
            <w:tcW w:w="2952" w:type="dxa"/>
            <w:tcBorders>
              <w:top w:val="double" w:sz="4" w:space="0" w:color="auto"/>
              <w:bottom w:val="single" w:sz="4" w:space="0" w:color="auto"/>
            </w:tcBorders>
          </w:tcPr>
          <w:p w:rsidR="00694114" w:rsidRDefault="00694114" w:rsidP="00C1340C">
            <w:pPr>
              <w:pStyle w:val="BodyText3"/>
              <w:jc w:val="center"/>
            </w:pPr>
            <w:r>
              <w:t>0.**</w:t>
            </w:r>
          </w:p>
        </w:tc>
        <w:tc>
          <w:tcPr>
            <w:tcW w:w="2952" w:type="dxa"/>
            <w:tcBorders>
              <w:top w:val="double" w:sz="4" w:space="0" w:color="auto"/>
              <w:bottom w:val="single" w:sz="4" w:space="0" w:color="auto"/>
            </w:tcBorders>
          </w:tcPr>
          <w:p w:rsidR="00694114" w:rsidRDefault="00694114" w:rsidP="008E2CB9">
            <w:pPr>
              <w:jc w:val="center"/>
            </w:pPr>
            <w:r w:rsidRPr="00E03837">
              <w:t>0.**</w:t>
            </w:r>
          </w:p>
        </w:tc>
      </w:tr>
      <w:tr w:rsidR="00694114">
        <w:tc>
          <w:tcPr>
            <w:tcW w:w="2952" w:type="dxa"/>
            <w:tcBorders>
              <w:top w:val="single" w:sz="4" w:space="0" w:color="auto"/>
              <w:bottom w:val="single" w:sz="4" w:space="0" w:color="auto"/>
            </w:tcBorders>
          </w:tcPr>
          <w:p w:rsidR="00694114" w:rsidRDefault="00694114" w:rsidP="00C1340C">
            <w:pPr>
              <w:pStyle w:val="BodyText3"/>
              <w:jc w:val="center"/>
            </w:pPr>
          </w:p>
        </w:tc>
        <w:tc>
          <w:tcPr>
            <w:tcW w:w="2952" w:type="dxa"/>
            <w:tcBorders>
              <w:top w:val="single" w:sz="4" w:space="0" w:color="auto"/>
              <w:bottom w:val="single" w:sz="4" w:space="0" w:color="auto"/>
            </w:tcBorders>
          </w:tcPr>
          <w:p w:rsidR="00694114" w:rsidRDefault="00694114" w:rsidP="00C1340C">
            <w:pPr>
              <w:pStyle w:val="BodyText3"/>
              <w:jc w:val="center"/>
            </w:pPr>
            <w:r>
              <w:t>0.**</w:t>
            </w:r>
          </w:p>
        </w:tc>
        <w:tc>
          <w:tcPr>
            <w:tcW w:w="2952" w:type="dxa"/>
            <w:tcBorders>
              <w:top w:val="single" w:sz="4" w:space="0" w:color="auto"/>
              <w:bottom w:val="single" w:sz="4" w:space="0" w:color="auto"/>
            </w:tcBorders>
          </w:tcPr>
          <w:p w:rsidR="00694114" w:rsidRDefault="00694114" w:rsidP="008E2CB9">
            <w:pPr>
              <w:jc w:val="center"/>
            </w:pPr>
            <w:r w:rsidRPr="00E03837">
              <w:t>0.**</w:t>
            </w:r>
          </w:p>
        </w:tc>
      </w:tr>
      <w:tr w:rsidR="00694114">
        <w:tc>
          <w:tcPr>
            <w:tcW w:w="2952" w:type="dxa"/>
            <w:tcBorders>
              <w:top w:val="single" w:sz="4" w:space="0" w:color="auto"/>
            </w:tcBorders>
          </w:tcPr>
          <w:p w:rsidR="00694114" w:rsidRDefault="00694114" w:rsidP="00C1340C">
            <w:pPr>
              <w:pStyle w:val="BodyText3"/>
              <w:jc w:val="center"/>
            </w:pPr>
          </w:p>
        </w:tc>
        <w:tc>
          <w:tcPr>
            <w:tcW w:w="2952" w:type="dxa"/>
            <w:tcBorders>
              <w:top w:val="single" w:sz="4" w:space="0" w:color="auto"/>
            </w:tcBorders>
          </w:tcPr>
          <w:p w:rsidR="00694114" w:rsidRDefault="00694114" w:rsidP="00C1340C">
            <w:pPr>
              <w:pStyle w:val="BodyText3"/>
              <w:jc w:val="center"/>
            </w:pPr>
            <w:r>
              <w:t>0.**</w:t>
            </w:r>
          </w:p>
        </w:tc>
        <w:tc>
          <w:tcPr>
            <w:tcW w:w="2952" w:type="dxa"/>
            <w:tcBorders>
              <w:top w:val="single" w:sz="4" w:space="0" w:color="auto"/>
            </w:tcBorders>
          </w:tcPr>
          <w:p w:rsidR="00694114" w:rsidRDefault="00694114" w:rsidP="008E2CB9">
            <w:pPr>
              <w:jc w:val="center"/>
            </w:pPr>
            <w:r w:rsidRPr="00E03837">
              <w:t>0.**</w:t>
            </w:r>
          </w:p>
        </w:tc>
      </w:tr>
      <w:tr w:rsidR="00694114">
        <w:tc>
          <w:tcPr>
            <w:tcW w:w="2952" w:type="dxa"/>
          </w:tcPr>
          <w:p w:rsidR="00694114" w:rsidRDefault="00694114" w:rsidP="00C1340C">
            <w:pPr>
              <w:pStyle w:val="BodyText3"/>
              <w:jc w:val="center"/>
            </w:pPr>
          </w:p>
        </w:tc>
        <w:tc>
          <w:tcPr>
            <w:tcW w:w="2952" w:type="dxa"/>
          </w:tcPr>
          <w:p w:rsidR="00694114" w:rsidRDefault="00694114" w:rsidP="00C1340C">
            <w:pPr>
              <w:pStyle w:val="BodyText3"/>
              <w:jc w:val="center"/>
            </w:pPr>
            <w:r>
              <w:t>0.**</w:t>
            </w:r>
          </w:p>
        </w:tc>
        <w:tc>
          <w:tcPr>
            <w:tcW w:w="2952" w:type="dxa"/>
          </w:tcPr>
          <w:p w:rsidR="00694114" w:rsidRDefault="00694114" w:rsidP="008E2CB9">
            <w:pPr>
              <w:jc w:val="center"/>
            </w:pPr>
            <w:r w:rsidRPr="00E03837">
              <w:t>0.**</w:t>
            </w:r>
          </w:p>
        </w:tc>
      </w:tr>
      <w:tr w:rsidR="00694114">
        <w:tc>
          <w:tcPr>
            <w:tcW w:w="2952" w:type="dxa"/>
            <w:tcBorders>
              <w:top w:val="double" w:sz="4" w:space="0" w:color="auto"/>
            </w:tcBorders>
          </w:tcPr>
          <w:p w:rsidR="00694114" w:rsidRDefault="00694114" w:rsidP="00C1340C">
            <w:pPr>
              <w:pStyle w:val="BodyText3"/>
              <w:jc w:val="center"/>
            </w:pPr>
            <w:r>
              <w:t>0.**</w:t>
            </w:r>
          </w:p>
        </w:tc>
        <w:tc>
          <w:tcPr>
            <w:tcW w:w="2952" w:type="dxa"/>
            <w:tcBorders>
              <w:top w:val="double" w:sz="4" w:space="0" w:color="auto"/>
            </w:tcBorders>
          </w:tcPr>
          <w:p w:rsidR="00694114" w:rsidRDefault="00694114" w:rsidP="00C1340C">
            <w:pPr>
              <w:pStyle w:val="BodyText3"/>
              <w:jc w:val="center"/>
            </w:pPr>
            <w:r>
              <w:t>0.**</w:t>
            </w:r>
          </w:p>
        </w:tc>
        <w:tc>
          <w:tcPr>
            <w:tcW w:w="2952" w:type="dxa"/>
            <w:tcBorders>
              <w:top w:val="double" w:sz="4" w:space="0" w:color="auto"/>
            </w:tcBorders>
          </w:tcPr>
          <w:p w:rsidR="00694114" w:rsidRDefault="00694114" w:rsidP="008E2CB9">
            <w:pPr>
              <w:jc w:val="center"/>
            </w:pPr>
            <w:r w:rsidRPr="00E03837">
              <w:t>0.**</w:t>
            </w:r>
          </w:p>
        </w:tc>
      </w:tr>
      <w:tr w:rsidR="00694114">
        <w:tc>
          <w:tcPr>
            <w:tcW w:w="2952" w:type="dxa"/>
          </w:tcPr>
          <w:p w:rsidR="00694114" w:rsidRDefault="00694114" w:rsidP="00C1340C">
            <w:pPr>
              <w:pStyle w:val="BodyText3"/>
              <w:jc w:val="center"/>
            </w:pPr>
          </w:p>
        </w:tc>
        <w:tc>
          <w:tcPr>
            <w:tcW w:w="2952" w:type="dxa"/>
          </w:tcPr>
          <w:p w:rsidR="00694114" w:rsidRDefault="00694114" w:rsidP="00C1340C">
            <w:pPr>
              <w:pStyle w:val="BodyText3"/>
              <w:jc w:val="center"/>
            </w:pPr>
            <w:r>
              <w:t>0.**</w:t>
            </w:r>
          </w:p>
        </w:tc>
        <w:tc>
          <w:tcPr>
            <w:tcW w:w="2952" w:type="dxa"/>
          </w:tcPr>
          <w:p w:rsidR="00694114" w:rsidRDefault="00694114" w:rsidP="008E2CB9">
            <w:pPr>
              <w:jc w:val="center"/>
            </w:pPr>
            <w:r w:rsidRPr="00E03837">
              <w:t>0.**</w:t>
            </w:r>
          </w:p>
        </w:tc>
      </w:tr>
      <w:tr w:rsidR="00694114">
        <w:tc>
          <w:tcPr>
            <w:tcW w:w="2952" w:type="dxa"/>
          </w:tcPr>
          <w:p w:rsidR="00694114" w:rsidRDefault="00694114" w:rsidP="00C1340C">
            <w:pPr>
              <w:pStyle w:val="BodyText3"/>
              <w:jc w:val="center"/>
            </w:pPr>
          </w:p>
        </w:tc>
        <w:tc>
          <w:tcPr>
            <w:tcW w:w="2952" w:type="dxa"/>
          </w:tcPr>
          <w:p w:rsidR="00694114" w:rsidRDefault="00694114" w:rsidP="00C1340C">
            <w:pPr>
              <w:pStyle w:val="BodyText3"/>
              <w:jc w:val="center"/>
            </w:pPr>
            <w:r>
              <w:t>0.**</w:t>
            </w:r>
          </w:p>
        </w:tc>
        <w:tc>
          <w:tcPr>
            <w:tcW w:w="2952" w:type="dxa"/>
          </w:tcPr>
          <w:p w:rsidR="00694114" w:rsidRDefault="00694114" w:rsidP="008E2CB9">
            <w:pPr>
              <w:jc w:val="center"/>
            </w:pPr>
            <w:r w:rsidRPr="00E03837">
              <w:t>0.**</w:t>
            </w:r>
          </w:p>
        </w:tc>
      </w:tr>
      <w:tr w:rsidR="00694114">
        <w:tc>
          <w:tcPr>
            <w:tcW w:w="2952" w:type="dxa"/>
          </w:tcPr>
          <w:p w:rsidR="00694114" w:rsidRDefault="00694114" w:rsidP="00C1340C">
            <w:pPr>
              <w:pStyle w:val="BodyText3"/>
              <w:jc w:val="center"/>
            </w:pPr>
          </w:p>
        </w:tc>
        <w:tc>
          <w:tcPr>
            <w:tcW w:w="2952" w:type="dxa"/>
          </w:tcPr>
          <w:p w:rsidR="00694114" w:rsidRDefault="00694114" w:rsidP="00C1340C">
            <w:pPr>
              <w:pStyle w:val="BodyText3"/>
              <w:jc w:val="center"/>
            </w:pPr>
            <w:r>
              <w:t>0.**</w:t>
            </w:r>
          </w:p>
        </w:tc>
        <w:tc>
          <w:tcPr>
            <w:tcW w:w="2952" w:type="dxa"/>
          </w:tcPr>
          <w:p w:rsidR="00694114" w:rsidRDefault="00694114" w:rsidP="008E2CB9">
            <w:pPr>
              <w:jc w:val="center"/>
            </w:pPr>
            <w:r w:rsidRPr="00E03837">
              <w:t>0.**</w:t>
            </w:r>
          </w:p>
        </w:tc>
      </w:tr>
      <w:tr w:rsidR="00694114">
        <w:tc>
          <w:tcPr>
            <w:tcW w:w="2952" w:type="dxa"/>
            <w:tcBorders>
              <w:top w:val="double" w:sz="4" w:space="0" w:color="auto"/>
            </w:tcBorders>
          </w:tcPr>
          <w:p w:rsidR="00694114" w:rsidRDefault="00694114" w:rsidP="00C1340C">
            <w:pPr>
              <w:pStyle w:val="BodyText3"/>
              <w:jc w:val="center"/>
            </w:pPr>
            <w:r>
              <w:t>0.**</w:t>
            </w:r>
          </w:p>
        </w:tc>
        <w:tc>
          <w:tcPr>
            <w:tcW w:w="2952" w:type="dxa"/>
            <w:tcBorders>
              <w:top w:val="double" w:sz="4" w:space="0" w:color="auto"/>
            </w:tcBorders>
          </w:tcPr>
          <w:p w:rsidR="00694114" w:rsidRDefault="00694114" w:rsidP="00C1340C">
            <w:pPr>
              <w:pStyle w:val="BodyText3"/>
              <w:jc w:val="center"/>
            </w:pPr>
            <w:r>
              <w:t>0.**</w:t>
            </w:r>
          </w:p>
        </w:tc>
        <w:tc>
          <w:tcPr>
            <w:tcW w:w="2952" w:type="dxa"/>
            <w:tcBorders>
              <w:top w:val="double" w:sz="4" w:space="0" w:color="auto"/>
            </w:tcBorders>
          </w:tcPr>
          <w:p w:rsidR="00694114" w:rsidRDefault="00694114" w:rsidP="008E2CB9">
            <w:pPr>
              <w:jc w:val="center"/>
            </w:pPr>
            <w:r w:rsidRPr="00E03837">
              <w:t>0.**</w:t>
            </w:r>
          </w:p>
        </w:tc>
      </w:tr>
      <w:tr w:rsidR="00694114">
        <w:tc>
          <w:tcPr>
            <w:tcW w:w="2952" w:type="dxa"/>
          </w:tcPr>
          <w:p w:rsidR="00694114" w:rsidRDefault="00694114" w:rsidP="00C1340C">
            <w:pPr>
              <w:pStyle w:val="BodyText3"/>
              <w:jc w:val="center"/>
            </w:pPr>
          </w:p>
        </w:tc>
        <w:tc>
          <w:tcPr>
            <w:tcW w:w="2952" w:type="dxa"/>
          </w:tcPr>
          <w:p w:rsidR="00694114" w:rsidRDefault="00694114" w:rsidP="00C1340C">
            <w:pPr>
              <w:pStyle w:val="BodyText3"/>
              <w:jc w:val="center"/>
            </w:pPr>
            <w:r>
              <w:t>0.**</w:t>
            </w:r>
          </w:p>
        </w:tc>
        <w:tc>
          <w:tcPr>
            <w:tcW w:w="2952" w:type="dxa"/>
          </w:tcPr>
          <w:p w:rsidR="00694114" w:rsidRDefault="00694114" w:rsidP="008E2CB9">
            <w:pPr>
              <w:jc w:val="center"/>
            </w:pPr>
            <w:r w:rsidRPr="00E03837">
              <w:t>0.**</w:t>
            </w:r>
          </w:p>
        </w:tc>
      </w:tr>
      <w:tr w:rsidR="00694114">
        <w:tc>
          <w:tcPr>
            <w:tcW w:w="2952" w:type="dxa"/>
          </w:tcPr>
          <w:p w:rsidR="00694114" w:rsidRDefault="00694114" w:rsidP="00C1340C">
            <w:pPr>
              <w:pStyle w:val="BodyText3"/>
              <w:jc w:val="center"/>
            </w:pPr>
          </w:p>
        </w:tc>
        <w:tc>
          <w:tcPr>
            <w:tcW w:w="2952" w:type="dxa"/>
          </w:tcPr>
          <w:p w:rsidR="00694114" w:rsidRDefault="00694114" w:rsidP="00C1340C">
            <w:pPr>
              <w:pStyle w:val="BodyText3"/>
              <w:jc w:val="center"/>
            </w:pPr>
            <w:r>
              <w:t>0.**</w:t>
            </w:r>
          </w:p>
        </w:tc>
        <w:tc>
          <w:tcPr>
            <w:tcW w:w="2952" w:type="dxa"/>
          </w:tcPr>
          <w:p w:rsidR="00694114" w:rsidRDefault="00694114" w:rsidP="008E2CB9">
            <w:pPr>
              <w:jc w:val="center"/>
            </w:pPr>
            <w:r w:rsidRPr="00E03837">
              <w:t>0.**</w:t>
            </w:r>
          </w:p>
        </w:tc>
      </w:tr>
      <w:tr w:rsidR="00694114">
        <w:tc>
          <w:tcPr>
            <w:tcW w:w="2952" w:type="dxa"/>
            <w:tcBorders>
              <w:bottom w:val="double" w:sz="4" w:space="0" w:color="auto"/>
            </w:tcBorders>
          </w:tcPr>
          <w:p w:rsidR="00694114" w:rsidRDefault="00694114" w:rsidP="00C1340C">
            <w:pPr>
              <w:pStyle w:val="BodyText3"/>
              <w:jc w:val="center"/>
            </w:pPr>
          </w:p>
        </w:tc>
        <w:tc>
          <w:tcPr>
            <w:tcW w:w="2952" w:type="dxa"/>
            <w:tcBorders>
              <w:bottom w:val="double" w:sz="4" w:space="0" w:color="auto"/>
            </w:tcBorders>
          </w:tcPr>
          <w:p w:rsidR="00694114" w:rsidRDefault="00694114" w:rsidP="00C1340C">
            <w:pPr>
              <w:pStyle w:val="BodyText3"/>
              <w:jc w:val="center"/>
            </w:pPr>
            <w:r>
              <w:t>0.**</w:t>
            </w:r>
          </w:p>
        </w:tc>
        <w:tc>
          <w:tcPr>
            <w:tcW w:w="2952" w:type="dxa"/>
            <w:tcBorders>
              <w:bottom w:val="double" w:sz="4" w:space="0" w:color="auto"/>
            </w:tcBorders>
          </w:tcPr>
          <w:p w:rsidR="00694114" w:rsidRDefault="00694114" w:rsidP="008E2CB9">
            <w:pPr>
              <w:jc w:val="center"/>
            </w:pPr>
            <w:r w:rsidRPr="00E03837">
              <w:t>0.**</w:t>
            </w:r>
          </w:p>
        </w:tc>
      </w:tr>
      <w:tr w:rsidR="00694114">
        <w:tc>
          <w:tcPr>
            <w:tcW w:w="2952" w:type="dxa"/>
            <w:tcBorders>
              <w:top w:val="double" w:sz="4" w:space="0" w:color="auto"/>
            </w:tcBorders>
          </w:tcPr>
          <w:p w:rsidR="00694114" w:rsidRDefault="00694114" w:rsidP="00C1340C">
            <w:pPr>
              <w:pStyle w:val="BodyText3"/>
              <w:jc w:val="center"/>
            </w:pPr>
            <w:r>
              <w:t>0.**</w:t>
            </w:r>
          </w:p>
        </w:tc>
        <w:tc>
          <w:tcPr>
            <w:tcW w:w="2952" w:type="dxa"/>
            <w:tcBorders>
              <w:top w:val="double" w:sz="4" w:space="0" w:color="auto"/>
            </w:tcBorders>
          </w:tcPr>
          <w:p w:rsidR="00694114" w:rsidRDefault="00694114" w:rsidP="00C1340C">
            <w:pPr>
              <w:pStyle w:val="BodyText3"/>
              <w:jc w:val="center"/>
            </w:pPr>
            <w:r>
              <w:t>0.**</w:t>
            </w:r>
          </w:p>
        </w:tc>
        <w:tc>
          <w:tcPr>
            <w:tcW w:w="2952" w:type="dxa"/>
            <w:tcBorders>
              <w:top w:val="double" w:sz="4" w:space="0" w:color="auto"/>
            </w:tcBorders>
          </w:tcPr>
          <w:p w:rsidR="00694114" w:rsidRDefault="00694114" w:rsidP="008E2CB9">
            <w:pPr>
              <w:jc w:val="center"/>
            </w:pPr>
            <w:r w:rsidRPr="00E03837">
              <w:t>0.**</w:t>
            </w:r>
          </w:p>
        </w:tc>
      </w:tr>
      <w:tr w:rsidR="00694114">
        <w:tc>
          <w:tcPr>
            <w:tcW w:w="2952" w:type="dxa"/>
          </w:tcPr>
          <w:p w:rsidR="00694114" w:rsidRDefault="00694114" w:rsidP="00C1340C">
            <w:pPr>
              <w:pStyle w:val="BodyText3"/>
              <w:jc w:val="center"/>
            </w:pPr>
          </w:p>
        </w:tc>
        <w:tc>
          <w:tcPr>
            <w:tcW w:w="2952" w:type="dxa"/>
          </w:tcPr>
          <w:p w:rsidR="00694114" w:rsidRDefault="00694114" w:rsidP="00C1340C">
            <w:pPr>
              <w:pStyle w:val="BodyText3"/>
              <w:jc w:val="center"/>
            </w:pPr>
            <w:r>
              <w:t>0.**</w:t>
            </w:r>
          </w:p>
        </w:tc>
        <w:tc>
          <w:tcPr>
            <w:tcW w:w="2952" w:type="dxa"/>
          </w:tcPr>
          <w:p w:rsidR="00694114" w:rsidRDefault="00694114" w:rsidP="008E2CB9">
            <w:pPr>
              <w:jc w:val="center"/>
            </w:pPr>
            <w:r w:rsidRPr="00E03837">
              <w:t>0.**</w:t>
            </w:r>
          </w:p>
        </w:tc>
      </w:tr>
      <w:tr w:rsidR="00694114">
        <w:tc>
          <w:tcPr>
            <w:tcW w:w="2952" w:type="dxa"/>
          </w:tcPr>
          <w:p w:rsidR="00694114" w:rsidRDefault="00694114" w:rsidP="00C1340C">
            <w:pPr>
              <w:pStyle w:val="BodyText3"/>
              <w:jc w:val="center"/>
            </w:pPr>
          </w:p>
        </w:tc>
        <w:tc>
          <w:tcPr>
            <w:tcW w:w="2952" w:type="dxa"/>
          </w:tcPr>
          <w:p w:rsidR="00694114" w:rsidRDefault="00694114" w:rsidP="00C1340C">
            <w:pPr>
              <w:pStyle w:val="BodyText3"/>
              <w:jc w:val="center"/>
            </w:pPr>
            <w:r>
              <w:t>0.**</w:t>
            </w:r>
          </w:p>
        </w:tc>
        <w:tc>
          <w:tcPr>
            <w:tcW w:w="2952" w:type="dxa"/>
          </w:tcPr>
          <w:p w:rsidR="00694114" w:rsidRDefault="00694114" w:rsidP="008E2CB9">
            <w:pPr>
              <w:jc w:val="center"/>
            </w:pPr>
            <w:r w:rsidRPr="00E03837">
              <w:t>0.**</w:t>
            </w:r>
          </w:p>
        </w:tc>
      </w:tr>
      <w:tr w:rsidR="00694114">
        <w:tc>
          <w:tcPr>
            <w:tcW w:w="2952" w:type="dxa"/>
            <w:tcBorders>
              <w:bottom w:val="double" w:sz="4" w:space="0" w:color="auto"/>
            </w:tcBorders>
          </w:tcPr>
          <w:p w:rsidR="00694114" w:rsidRDefault="00694114" w:rsidP="00C1340C">
            <w:pPr>
              <w:pStyle w:val="BodyText3"/>
              <w:jc w:val="center"/>
            </w:pPr>
          </w:p>
        </w:tc>
        <w:tc>
          <w:tcPr>
            <w:tcW w:w="2952" w:type="dxa"/>
            <w:tcBorders>
              <w:bottom w:val="double" w:sz="4" w:space="0" w:color="auto"/>
            </w:tcBorders>
          </w:tcPr>
          <w:p w:rsidR="00694114" w:rsidRDefault="00694114" w:rsidP="00C1340C">
            <w:pPr>
              <w:pStyle w:val="BodyText3"/>
              <w:jc w:val="center"/>
            </w:pPr>
            <w:r>
              <w:t>0.**</w:t>
            </w:r>
          </w:p>
        </w:tc>
        <w:tc>
          <w:tcPr>
            <w:tcW w:w="2952" w:type="dxa"/>
            <w:tcBorders>
              <w:bottom w:val="double" w:sz="4" w:space="0" w:color="auto"/>
            </w:tcBorders>
          </w:tcPr>
          <w:p w:rsidR="00694114" w:rsidRDefault="00694114" w:rsidP="008E2CB9">
            <w:pPr>
              <w:jc w:val="center"/>
            </w:pPr>
            <w:r w:rsidRPr="00E03837">
              <w:t>0.**</w:t>
            </w:r>
          </w:p>
        </w:tc>
      </w:tr>
    </w:tbl>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lang w:eastAsia="zh-CN"/>
        </w:rPr>
      </w:pPr>
    </w:p>
    <w:p w:rsidR="00C1340C" w:rsidRDefault="00C1340C" w:rsidP="00C1340C">
      <w:pPr>
        <w:pStyle w:val="Heading2"/>
        <w:jc w:val="both"/>
      </w:pPr>
      <w:r>
        <w:t>Analysis Plan</w:t>
      </w:r>
    </w:p>
    <w:p w:rsidR="00C1340C" w:rsidRDefault="00C1340C" w:rsidP="00C1340C">
      <w:pPr>
        <w:jc w:val="both"/>
      </w:pPr>
    </w:p>
    <w:p w:rsidR="00C1340C" w:rsidRDefault="00C1340C" w:rsidP="00C1340C">
      <w:pPr>
        <w:pStyle w:val="Heading1"/>
        <w:tabs>
          <w:tab w:val="clear" w:pos="720"/>
          <w:tab w:val="clear" w:pos="1440"/>
          <w:tab w:val="left" w:pos="1350"/>
        </w:tabs>
        <w:rPr>
          <w:b w:val="0"/>
          <w:bCs w:val="0"/>
        </w:rPr>
      </w:pPr>
      <w:r>
        <w:rPr>
          <w:b w:val="0"/>
          <w:bCs w:val="0"/>
        </w:rPr>
        <w:t>Summary statistics will be provided for continuous variables.  Frequency tables will be used to summarize categorical variables.  Logistic regression will be utilized to assess the effect of patient prognostic factors on the response rate and the toxicity rate.  The distribution of time-to-event endpoints will be estimated using the method of Kaplan and Meier.  Comparison of time-to-event endpoints by important subgroups will be made using the log-rank test.  Cox proportional hazard regression will be employed for multivariate analysis on time-to-event outcomes.</w:t>
      </w: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lang w:eastAsia="zh-CN"/>
        </w:rPr>
      </w:pP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lang w:eastAsia="zh-CN"/>
        </w:rPr>
      </w:pP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lang w:eastAsia="zh-CN"/>
        </w:rPr>
      </w:pPr>
    </w:p>
    <w:p w:rsidR="00C1340C" w:rsidRDefault="00C1340C">
      <w:pPr>
        <w:pStyle w:val="Heading1"/>
      </w:pPr>
      <w:r>
        <w:lastRenderedPageBreak/>
        <w:t xml:space="preserve">References </w:t>
      </w: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rPr>
      </w:pP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rPr>
      </w:pPr>
      <w:r>
        <w:rPr>
          <w:color w:val="000000"/>
        </w:rPr>
        <w:t xml:space="preserve">Thall, PF, Simon, R, </w:t>
      </w:r>
      <w:proofErr w:type="spellStart"/>
      <w:r>
        <w:rPr>
          <w:color w:val="000000"/>
        </w:rPr>
        <w:t>Estey</w:t>
      </w:r>
      <w:proofErr w:type="spellEnd"/>
      <w:r>
        <w:rPr>
          <w:color w:val="000000"/>
        </w:rPr>
        <w:t xml:space="preserve">, EH: Bayesian sequential monitoring designs for single-arm clinical trials with multiple outcomes. </w:t>
      </w:r>
      <w:r>
        <w:rPr>
          <w:i/>
          <w:color w:val="000000"/>
        </w:rPr>
        <w:t>Statistics in Medicine</w:t>
      </w:r>
      <w:r>
        <w:rPr>
          <w:color w:val="000000"/>
        </w:rPr>
        <w:t xml:space="preserve"> 14:357-379, 1995. </w:t>
      </w: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rPr>
      </w:pP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rPr>
      </w:pPr>
      <w:r>
        <w:rPr>
          <w:color w:val="000000"/>
        </w:rPr>
        <w:t xml:space="preserve">Thall, PF, Simon, R, </w:t>
      </w:r>
      <w:proofErr w:type="spellStart"/>
      <w:r>
        <w:rPr>
          <w:color w:val="000000"/>
        </w:rPr>
        <w:t>Estey</w:t>
      </w:r>
      <w:proofErr w:type="spellEnd"/>
      <w:r>
        <w:rPr>
          <w:color w:val="000000"/>
        </w:rPr>
        <w:t xml:space="preserve">, EH: New statistical strategy for monitoring safety and efficacy in single-arm clinical trials. </w:t>
      </w:r>
      <w:r>
        <w:rPr>
          <w:i/>
          <w:color w:val="000000"/>
        </w:rPr>
        <w:t xml:space="preserve">J. Clinical Oncology </w:t>
      </w:r>
      <w:r>
        <w:rPr>
          <w:color w:val="000000"/>
        </w:rPr>
        <w:t xml:space="preserve">14:296-303, 1996. </w:t>
      </w: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rPr>
      </w:pPr>
    </w:p>
    <w:p w:rsidR="00C1340C" w:rsidRDefault="00C134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rPr>
          <w:color w:val="000000"/>
        </w:rPr>
      </w:pPr>
      <w:r>
        <w:rPr>
          <w:color w:val="000000"/>
        </w:rPr>
        <w:t xml:space="preserve">Thall, PF and Sung, H-G: Some extensions and applications of a Bayesian strategy for monitoring multiple outcomes in clinical trials. </w:t>
      </w:r>
      <w:r>
        <w:rPr>
          <w:i/>
          <w:color w:val="000000"/>
        </w:rPr>
        <w:t xml:space="preserve">Statistics in Medicine </w:t>
      </w:r>
      <w:r>
        <w:rPr>
          <w:color w:val="000000"/>
        </w:rPr>
        <w:t xml:space="preserve">17:1563-1580, 1998. </w:t>
      </w:r>
    </w:p>
    <w:p w:rsidR="00080456" w:rsidRDefault="00080456" w:rsidP="00080456">
      <w:pPr>
        <w:pStyle w:val="Heading1"/>
      </w:pPr>
      <w:r>
        <w:br w:type="page"/>
      </w:r>
      <w:r w:rsidR="008E2CB9">
        <w:lastRenderedPageBreak/>
        <w:t>Appendix *** (Insert</w:t>
      </w:r>
      <w:r>
        <w:t xml:space="preserve"> the scenario output file, pasted in with “keep source formatting” option)</w:t>
      </w:r>
    </w:p>
    <w:p w:rsidR="00080456" w:rsidRDefault="00080456" w:rsidP="00080456"/>
    <w:p w:rsidR="00080456" w:rsidRPr="00080456" w:rsidRDefault="00080456" w:rsidP="00080456"/>
    <w:sectPr w:rsidR="00080456" w:rsidRPr="00080456" w:rsidSect="00C1340C">
      <w:headerReference w:type="default" r:id="rId8"/>
      <w:footerReference w:type="even" r:id="rId9"/>
      <w:footerReference w:type="default" r:id="rId10"/>
      <w:endnotePr>
        <w:numFmt w:val="decimal"/>
      </w:endnotePr>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7F1" w:rsidRDefault="002B77F1">
      <w:r>
        <w:separator/>
      </w:r>
    </w:p>
  </w:endnote>
  <w:endnote w:type="continuationSeparator" w:id="0">
    <w:p w:rsidR="002B77F1" w:rsidRDefault="002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14" w:rsidRDefault="00694114" w:rsidP="00C13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4114" w:rsidRDefault="00694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14" w:rsidRDefault="00694114" w:rsidP="00C13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761">
      <w:rPr>
        <w:rStyle w:val="PageNumber"/>
        <w:noProof/>
      </w:rPr>
      <w:t>1</w:t>
    </w:r>
    <w:r>
      <w:rPr>
        <w:rStyle w:val="PageNumber"/>
      </w:rPr>
      <w:fldChar w:fldCharType="end"/>
    </w:r>
  </w:p>
  <w:p w:rsidR="00694114" w:rsidRDefault="00694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7F1" w:rsidRDefault="002B77F1">
      <w:r>
        <w:separator/>
      </w:r>
    </w:p>
  </w:footnote>
  <w:footnote w:type="continuationSeparator" w:id="0">
    <w:p w:rsidR="002B77F1" w:rsidRDefault="002B7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14" w:rsidRDefault="006941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exact"/>
      <w:rPr>
        <w:rFonts w:ascii="CG Times" w:hAnsi="CG Times"/>
        <w:color w:val="000000"/>
      </w:rPr>
    </w:pPr>
  </w:p>
  <w:p w:rsidR="00694114" w:rsidRDefault="00694114">
    <w:pPr>
      <w:spacing w:line="240" w:lineRule="exact"/>
      <w:rPr>
        <w:rFonts w:ascii="CG Times" w:hAnsi="CG Time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715C"/>
    <w:multiLevelType w:val="hybridMultilevel"/>
    <w:tmpl w:val="0DBEA35A"/>
    <w:lvl w:ilvl="0" w:tplc="832EEA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9D9769A"/>
    <w:multiLevelType w:val="hybridMultilevel"/>
    <w:tmpl w:val="5066E9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422B8A"/>
    <w:multiLevelType w:val="multilevel"/>
    <w:tmpl w:val="F5E8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435665"/>
    <w:multiLevelType w:val="multilevel"/>
    <w:tmpl w:val="5B68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7E20C1"/>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FA46403"/>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noExtraLineSpacing/>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BFA"/>
    <w:rsid w:val="00080456"/>
    <w:rsid w:val="000F47A4"/>
    <w:rsid w:val="0018580F"/>
    <w:rsid w:val="00277413"/>
    <w:rsid w:val="00297C0C"/>
    <w:rsid w:val="002B77F1"/>
    <w:rsid w:val="00611185"/>
    <w:rsid w:val="00667BFA"/>
    <w:rsid w:val="00694114"/>
    <w:rsid w:val="00727EAC"/>
    <w:rsid w:val="008E2CB9"/>
    <w:rsid w:val="009060DA"/>
    <w:rsid w:val="00A67761"/>
    <w:rsid w:val="00B463B5"/>
    <w:rsid w:val="00C1340C"/>
    <w:rsid w:val="00CC119F"/>
    <w:rsid w:val="00D2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
    <w:qFormat/>
    <w:pPr>
      <w:keepNext/>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outlineLvl w:val="0"/>
    </w:pPr>
    <w:rPr>
      <w:b/>
      <w:bCs/>
      <w:color w:val="000000"/>
    </w:rPr>
  </w:style>
  <w:style w:type="paragraph" w:styleId="Heading2">
    <w:name w:val="heading 2"/>
    <w:basedOn w:val="Normal"/>
    <w:next w:val="Normal"/>
    <w:link w:val="Heading2Char"/>
    <w:uiPriority w:val="9"/>
    <w:qFormat/>
    <w:pPr>
      <w:keepNext/>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pPr>
    <w:rPr>
      <w:b/>
      <w:color w:val="000000"/>
    </w:rPr>
  </w:style>
  <w:style w:type="paragraph" w:styleId="BodyText2">
    <w:name w:val="Body Text 2"/>
    <w:basedOn w:val="Normal"/>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pPr>
    <w:rPr>
      <w:b/>
    </w:rPr>
  </w:style>
  <w:style w:type="paragraph" w:styleId="BodyText3">
    <w:name w:val="Body Text 3"/>
    <w:basedOn w:val="Normal"/>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88" w:lineRule="exact"/>
    </w:pPr>
    <w:rPr>
      <w:color w:val="000000"/>
    </w:rPr>
  </w:style>
  <w:style w:type="character" w:styleId="Emphasis">
    <w:name w:val="Emphasis"/>
    <w:qFormat/>
    <w:rPr>
      <w:i/>
      <w:iCs/>
    </w:rPr>
  </w:style>
  <w:style w:type="paragraph" w:styleId="Header">
    <w:name w:val="header"/>
    <w:basedOn w:val="Normal"/>
    <w:rsid w:val="00264AB6"/>
    <w:pPr>
      <w:tabs>
        <w:tab w:val="center" w:pos="4320"/>
        <w:tab w:val="right" w:pos="8640"/>
      </w:tabs>
    </w:pPr>
  </w:style>
  <w:style w:type="paragraph" w:styleId="Footer">
    <w:name w:val="footer"/>
    <w:basedOn w:val="Normal"/>
    <w:rsid w:val="00264AB6"/>
    <w:pPr>
      <w:tabs>
        <w:tab w:val="center" w:pos="4320"/>
        <w:tab w:val="right" w:pos="8640"/>
      </w:tabs>
    </w:pPr>
  </w:style>
  <w:style w:type="paragraph" w:styleId="BodyTextIndent2">
    <w:name w:val="Body Text Indent 2"/>
    <w:basedOn w:val="Normal"/>
    <w:rsid w:val="00C36867"/>
    <w:pPr>
      <w:widowControl/>
      <w:spacing w:after="120" w:line="480" w:lineRule="auto"/>
      <w:ind w:left="360"/>
    </w:pPr>
    <w:rPr>
      <w:rFonts w:eastAsia="Times New Roman"/>
      <w:snapToGrid/>
      <w:lang w:eastAsia="zh-CN"/>
    </w:rPr>
  </w:style>
  <w:style w:type="paragraph" w:customStyle="1" w:styleId="CS-TextChar">
    <w:name w:val="CS-Text Char"/>
    <w:rsid w:val="00502948"/>
    <w:pPr>
      <w:spacing w:after="240"/>
    </w:pPr>
    <w:rPr>
      <w:rFonts w:eastAsia="Times New Roman"/>
      <w:sz w:val="24"/>
      <w:lang w:val="en-GB" w:eastAsia="de-DE"/>
    </w:rPr>
  </w:style>
  <w:style w:type="table" w:styleId="TableGrid">
    <w:name w:val="Table Grid"/>
    <w:basedOn w:val="TableNormal"/>
    <w:rsid w:val="00397CA8"/>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8A7153"/>
    <w:rPr>
      <w:sz w:val="16"/>
      <w:szCs w:val="16"/>
    </w:rPr>
  </w:style>
  <w:style w:type="paragraph" w:styleId="CommentText">
    <w:name w:val="annotation text"/>
    <w:basedOn w:val="Normal"/>
    <w:semiHidden/>
    <w:rsid w:val="008A7153"/>
    <w:rPr>
      <w:sz w:val="20"/>
    </w:rPr>
  </w:style>
  <w:style w:type="paragraph" w:styleId="CommentSubject">
    <w:name w:val="annotation subject"/>
    <w:basedOn w:val="CommentText"/>
    <w:next w:val="CommentText"/>
    <w:semiHidden/>
    <w:rsid w:val="008A7153"/>
    <w:rPr>
      <w:b/>
      <w:bCs/>
    </w:rPr>
  </w:style>
  <w:style w:type="paragraph" w:styleId="BalloonText">
    <w:name w:val="Balloon Text"/>
    <w:basedOn w:val="Normal"/>
    <w:semiHidden/>
    <w:rsid w:val="008A7153"/>
    <w:rPr>
      <w:rFonts w:ascii="Tahoma" w:hAnsi="Tahoma" w:cs="Tahoma"/>
      <w:sz w:val="16"/>
      <w:szCs w:val="16"/>
    </w:rPr>
  </w:style>
  <w:style w:type="character" w:styleId="PageNumber">
    <w:name w:val="page number"/>
    <w:basedOn w:val="DefaultParagraphFont"/>
    <w:rsid w:val="00811C62"/>
  </w:style>
  <w:style w:type="numbering" w:customStyle="1" w:styleId="NoList1">
    <w:name w:val="No List1"/>
    <w:next w:val="NoList"/>
    <w:uiPriority w:val="99"/>
    <w:semiHidden/>
    <w:unhideWhenUsed/>
    <w:rsid w:val="00080456"/>
  </w:style>
  <w:style w:type="character" w:customStyle="1" w:styleId="Heading1Char">
    <w:name w:val="Heading 1 Char"/>
    <w:link w:val="Heading1"/>
    <w:uiPriority w:val="9"/>
    <w:rsid w:val="00080456"/>
    <w:rPr>
      <w:b/>
      <w:bCs/>
      <w:snapToGrid w:val="0"/>
      <w:color w:val="000000"/>
      <w:sz w:val="24"/>
    </w:rPr>
  </w:style>
  <w:style w:type="character" w:customStyle="1" w:styleId="Heading2Char">
    <w:name w:val="Heading 2 Char"/>
    <w:link w:val="Heading2"/>
    <w:uiPriority w:val="9"/>
    <w:rsid w:val="00080456"/>
    <w:rPr>
      <w:b/>
      <w:bCs/>
      <w:snapToGrid w:val="0"/>
      <w:color w:val="000000"/>
      <w:sz w:val="24"/>
    </w:rPr>
  </w:style>
  <w:style w:type="paragraph" w:styleId="NormalWeb">
    <w:name w:val="Normal (Web)"/>
    <w:basedOn w:val="Normal"/>
    <w:uiPriority w:val="99"/>
    <w:unhideWhenUsed/>
    <w:rsid w:val="00080456"/>
    <w:pPr>
      <w:widowControl/>
      <w:spacing w:before="100" w:beforeAutospacing="1" w:after="100" w:afterAutospacing="1"/>
    </w:pPr>
    <w:rPr>
      <w:rFonts w:eastAsia="Times New Roman"/>
      <w:snapToGrid/>
      <w:szCs w:val="24"/>
    </w:rPr>
  </w:style>
  <w:style w:type="character" w:customStyle="1" w:styleId="greek">
    <w:name w:val="greek"/>
    <w:rsid w:val="00080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2337">
      <w:bodyDiv w:val="1"/>
      <w:marLeft w:val="0"/>
      <w:marRight w:val="0"/>
      <w:marTop w:val="0"/>
      <w:marBottom w:val="0"/>
      <w:divBdr>
        <w:top w:val="none" w:sz="0" w:space="0" w:color="auto"/>
        <w:left w:val="none" w:sz="0" w:space="0" w:color="auto"/>
        <w:bottom w:val="none" w:sz="0" w:space="0" w:color="auto"/>
        <w:right w:val="none" w:sz="0" w:space="0" w:color="auto"/>
      </w:divBdr>
    </w:div>
    <w:div w:id="785121429">
      <w:bodyDiv w:val="1"/>
      <w:marLeft w:val="0"/>
      <w:marRight w:val="0"/>
      <w:marTop w:val="0"/>
      <w:marBottom w:val="0"/>
      <w:divBdr>
        <w:top w:val="none" w:sz="0" w:space="0" w:color="auto"/>
        <w:left w:val="none" w:sz="0" w:space="0" w:color="auto"/>
        <w:bottom w:val="none" w:sz="0" w:space="0" w:color="auto"/>
        <w:right w:val="none" w:sz="0" w:space="0" w:color="auto"/>
      </w:divBdr>
    </w:div>
    <w:div w:id="1191605334">
      <w:bodyDiv w:val="1"/>
      <w:marLeft w:val="0"/>
      <w:marRight w:val="0"/>
      <w:marTop w:val="0"/>
      <w:marBottom w:val="0"/>
      <w:divBdr>
        <w:top w:val="none" w:sz="0" w:space="0" w:color="auto"/>
        <w:left w:val="none" w:sz="0" w:space="0" w:color="auto"/>
        <w:bottom w:val="none" w:sz="0" w:space="0" w:color="auto"/>
        <w:right w:val="none" w:sz="0" w:space="0" w:color="auto"/>
      </w:divBdr>
    </w:div>
    <w:div w:id="1610164634">
      <w:bodyDiv w:val="1"/>
      <w:marLeft w:val="0"/>
      <w:marRight w:val="0"/>
      <w:marTop w:val="0"/>
      <w:marBottom w:val="0"/>
      <w:divBdr>
        <w:top w:val="none" w:sz="0" w:space="0" w:color="auto"/>
        <w:left w:val="none" w:sz="0" w:space="0" w:color="auto"/>
        <w:bottom w:val="none" w:sz="0" w:space="0" w:color="auto"/>
        <w:right w:val="none" w:sz="0" w:space="0" w:color="auto"/>
      </w:divBdr>
    </w:div>
    <w:div w:id="17120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UTMDACC</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Department of Biostatistics</dc:creator>
  <cp:lastModifiedBy>John Venier</cp:lastModifiedBy>
  <cp:revision>4</cp:revision>
  <cp:lastPrinted>2003-01-02T15:35:00Z</cp:lastPrinted>
  <dcterms:created xsi:type="dcterms:W3CDTF">2013-05-16T17:30:00Z</dcterms:created>
  <dcterms:modified xsi:type="dcterms:W3CDTF">2013-07-02T21:15:00Z</dcterms:modified>
</cp:coreProperties>
</file>